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                                                              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Управляющий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МКУК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ТКЦ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Саблино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                                                                  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Яковлева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С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. ______</w:t>
      </w:r>
    </w:p>
    <w:p>
      <w:pPr>
        <w:spacing w:before="0" w:after="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                                                                   «___» _________202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3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г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111111"/>
          <w:spacing w:val="0"/>
          <w:position w:val="0"/>
          <w:sz w:val="56"/>
          <w:shd w:fill="auto" w:val="clear"/>
        </w:rPr>
        <w:t xml:space="preserve">Положение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56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56"/>
          <w:shd w:fill="auto" w:val="clear"/>
        </w:rPr>
        <w:t xml:space="preserve">проект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о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конкурсе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масленичных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кукол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Сударыня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– 202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shd w:fill="auto" w:val="clear"/>
        </w:rPr>
        <w:t xml:space="preserve">3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25 февраля 2023 года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площади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ТКЦ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Саблино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состоится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народное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гуляние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посвященное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масленице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центральных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событий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праздника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станет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масленичных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кукол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Сударыня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– 202</w:t>
      </w:r>
      <w:r>
        <w:rPr>
          <w:rFonts w:ascii="Calibri" w:hAnsi="Calibri" w:cs="Calibri" w:eastAsia="Calibri"/>
          <w:color w:val="111111"/>
          <w:spacing w:val="0"/>
          <w:position w:val="0"/>
          <w:sz w:val="28"/>
          <w:shd w:fill="auto" w:val="clear"/>
        </w:rPr>
        <w:t xml:space="preserve">3</w:t>
      </w:r>
      <w:r>
        <w:rPr>
          <w:rFonts w:ascii="Bookman Old Style" w:hAnsi="Bookman Old Style" w:cs="Bookman Old Style" w:eastAsia="Bookman Old Style"/>
          <w:color w:val="111111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Оргнизатор</w:t>
      </w:r>
      <w:r>
        <w:rPr>
          <w:rFonts w:ascii="Bookman Old Style" w:hAnsi="Bookman Old Style" w:cs="Bookman Old Style" w:eastAsia="Bookman Old Style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Организатором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казенное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Театрально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культурный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центр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Саблино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""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Цели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задачи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народной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культуре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народных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традициях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Привлечение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жителей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поселка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совместной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созидательной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инициатив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прикладного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творчества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партнёрских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связей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поощрение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лучших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мастеров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авторов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оригинальных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масленичных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кукол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Участники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3.1.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принять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желающий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ограничений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возрасту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предоставляемых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участниками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ограничено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Требования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предъявляемые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работам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изготовлены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прикладных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техниках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изготовления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допускается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любых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костюме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возможно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традиционных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мотивов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оригинальное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авторское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предусмотреть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установки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открытой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площадке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сопровождаться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этикеткой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изготовленной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прочного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указанием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объединения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фамилии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имени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автора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наименования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Оставить заявку можно в специальной беседе: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https://vk.com/topic-16253488_49206156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4.6.Кроме традиционных масленичных чучел, можно представить и оригинальные куклы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5. НОМИНАЦИИ КОНКУРСА: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"Традиционная кукла"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"Авторская кукла"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Основные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критерии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оценки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Мастерство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технике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исполнения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деталей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костюма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Верность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традициям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изготовлении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масленичной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Оригинальность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яркая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самобытность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Необычный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подход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нестандартных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техник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приемов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приспособлений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вторая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жизнь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обычных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вещей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5.5.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Эстетичность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изделия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7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Конкурсная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комиссия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подведения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итогов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организатор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создает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конкурсную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творческих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ТКЦ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Саблино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Конкурсная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принимает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победителях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открытого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голосования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Конкурсная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учреждать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поощрительные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призы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авторов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интересных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кукол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8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Сроки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порядок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проведения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Изготовление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25 февраля 2023 года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принимаются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празднования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общепоселкового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народного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гуляния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202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".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9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Награждение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9.1.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Победители конкурса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масленичных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кукол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Сударыня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202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награждаются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дипломами и подарками.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9.2.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Награждение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проходить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25 февраля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праздника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площади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ТКЦ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Саблино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Приветствуются творческий подход, знание масленичных традиций.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Сделай куклу своими руками и выиграй подарок!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Все подробности можно узнать по телефлну: 88136193448-Щеголькова Юлия Ивановна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topic-16253488_49206156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